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 -->
  <w:body>
    <w:p w:rsidR="00A77B3E">
      <w:pPr>
        <w:pStyle w:val="Arial10"/>
      </w:pPr>
      <w:r>
        <w:rPr>
          <w:rStyle w:val="Bold"/>
        </w:rPr>
        <w:t>Vraag met verzoek om schriftelijk antwoord (Prioritair)</w:t>
      </w:r>
    </w:p>
    <w:p>
      <w:pPr>
        <w:pStyle w:val="Arial10"/>
      </w:pPr>
      <w:r>
        <w:rPr>
          <w:rStyle w:val="Bold"/>
        </w:rPr>
        <w:t>aan de Commissie</w:t>
      </w:r>
    </w:p>
    <w:p>
      <w:pPr>
        <w:pStyle w:val="Arial10"/>
      </w:pPr>
      <w:r>
        <w:t>Artikel 130 van het Reglement</w:t>
      </w:r>
    </w:p>
    <w:p>
      <w:pPr>
        <w:pStyle w:val="Arial10After10"/>
      </w:pPr>
      <w:r>
        <w:rPr>
          <w:rStyle w:val="Bold"/>
        </w:rPr>
        <w:t>Annie Schreijer-Pierik (EPP)</w:t>
      </w:r>
    </w:p>
    <w:p>
      <w:pPr>
        <w:pStyle w:val="Subject"/>
      </w:pPr>
      <w:r>
        <w:t>Betreft</w:t>
      </w:r>
      <w:r>
        <w:t>:</w:t>
      </w:r>
      <w:r>
        <w:tab/>
      </w:r>
      <w:r>
        <w:t xml:space="preserve">Vergunningen pulsvisserij </w:t>
      </w:r>
    </w:p>
    <w:p>
      <w:pPr>
        <w:pStyle w:val="Body"/>
      </w:pPr>
      <w:r>
        <w:t>In een uitgelekt schrijven</w:t>
      </w:r>
      <w:r>
        <w:rPr>
          <w:rStyle w:val="FootnoteReference"/>
        </w:rPr>
        <w:footnoteReference w:id="0"/>
      </w:r>
      <w:r>
        <w:t xml:space="preserve"> aan een nepnieuws verspreidende, Parlementsleden intimiderende antivisserij-actiegroep uit Parijs schrijft een ambtenaar van het directoraat-generaal Maritieme zaken en visserij van de Commissie dat deze diensten een formele inbreukprocedure tegen lidstaat Nederland aan het College van Eurocommissarissen ter goedkeuring zal voorleggen vanwege verstrekte vergunningen. </w:t>
      </w:r>
    </w:p>
    <w:p>
      <w:pPr>
        <w:pStyle w:val="Body"/>
      </w:pPr>
      <w:r>
        <w:t>1. Is het de diensten van de Commissie onbekend dat de pulskorvergunningen zijn genotificeerd en uitsluitend zijn verstrekt op basis van vigerende Europese wetgeving</w:t>
      </w:r>
      <w:r>
        <w:rPr>
          <w:rStyle w:val="FootnoteReference"/>
        </w:rPr>
        <w:footnoteReference w:id="1"/>
      </w:r>
      <w:r>
        <w:t xml:space="preserve"> die door de Commissie zelf, de lidstaten en het Parlement is goedgekeurd? </w:t>
      </w:r>
    </w:p>
    <w:p>
      <w:pPr>
        <w:pStyle w:val="Body"/>
      </w:pPr>
      <w:r>
        <w:t xml:space="preserve">2. Is het gebruikelijk dat een ambtenaar van een directoraat-generaal voorafgaand aan het besluit van het college van Eurocommissarissen reeds een voorstel tot inbreukprocedure communiceert aan een actiegroep, voordat de betreffende lidstaat of het Parlement zijn ingelicht? </w:t>
      </w:r>
    </w:p>
    <w:p>
      <w:pPr>
        <w:pStyle w:val="Body"/>
      </w:pPr>
      <w:r>
        <w:t>3. Spreekt genoemd directoraat-generaal door deze ambtelijke aankondiging van instelling van een inbreukprocedure tegen Nederland niet haar eigen voorstel</w:t>
      </w:r>
      <w:r>
        <w:rPr>
          <w:rStyle w:val="FootnoteReference"/>
        </w:rPr>
        <w:footnoteReference w:id="2"/>
      </w:r>
      <w:r>
        <w:t xml:space="preserve"> om de pulsvisserij vanwege zijn milieu-, mariene en klimaatvoordelen volledig toe te staan in de ICES-sectoren IVb en IVc alsmede het positieve advies van ICES</w:t>
      </w:r>
      <w:r>
        <w:rPr>
          <w:rStyle w:val="FootnoteReference"/>
        </w:rPr>
        <w:footnoteReference w:id="3"/>
      </w:r>
      <w:r>
        <w:t xml:space="preserve"> tegen en doet de Commissie daarmee zelf geen willekeurige afbreuk aan een verdere tenuitvoerlegging van de vigerende Europese wetgeving die als basis voor diezelfde vergunningen dient, alsmede aan eerdere beantwoording van parlementaire vragen door de Commissie zelf</w:t>
      </w:r>
      <w:r>
        <w:rPr>
          <w:rStyle w:val="FootnoteReference"/>
        </w:rPr>
        <w:footnoteReference w:id="4"/>
      </w:r>
      <w:r>
        <w:t xml:space="preserve">? </w:t>
      </w:r>
    </w:p>
    <w:sectPr>
      <w:footerReference w:type="even" r:id="rId5"/>
      <w:footerReference w:type="default" r:id="rId6"/>
      <w:footerReference w:type="first" r:id="rId7"/>
      <w:pgSz w:w="11906" w:h="16838"/>
      <w:pgMar w:top="1440" w:right="1440" w:bottom="2000" w:left="1440" w:header="568" w:footer="1440"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pPr>
      <w:r>
        <w:rPr>
          <w:rStyle w:val="FootnoteReference"/>
        </w:rPr>
        <w:footnoteRef/>
      </w:r>
      <w:r>
        <w:t xml:space="preserve"> </w:t>
      </w:r>
      <w:r>
        <w:tab/>
        <w:t>ARES (2019)601382</w:t>
      </w:r>
    </w:p>
  </w:footnote>
  <w:footnote w:id="1">
    <w:p>
      <w:pPr>
        <w:pStyle w:val="FootnoteText"/>
      </w:pPr>
      <w:r>
        <w:rPr>
          <w:rStyle w:val="FootnoteReference"/>
        </w:rPr>
        <w:footnoteRef/>
      </w:r>
      <w:r>
        <w:t xml:space="preserve"> </w:t>
      </w:r>
      <w:r>
        <w:tab/>
        <w:t>Artikel 31bis en art 43 van Verordening 850/1998 en artikel 14 van Verordening 1380/2013, waarbij het laatste artikel geen maximale omvang of schaal van deze proefprojecten vastlegt zoals door Eurocommissaris Damanaki op 22 mei 2014 benadrukt in antwoorden op schriftelijke parlementaire vragen (P-004225/2014).</w:t>
      </w:r>
    </w:p>
  </w:footnote>
  <w:footnote w:id="2">
    <w:p>
      <w:pPr>
        <w:pStyle w:val="FootnoteText"/>
      </w:pPr>
      <w:r>
        <w:rPr>
          <w:rStyle w:val="FootnoteReference"/>
        </w:rPr>
        <w:footnoteRef/>
      </w:r>
      <w:r>
        <w:t xml:space="preserve"> </w:t>
      </w:r>
      <w:r>
        <w:tab/>
        <w:t>2016/0074(COD)</w:t>
      </w:r>
    </w:p>
  </w:footnote>
  <w:footnote w:id="3">
    <w:p>
      <w:pPr>
        <w:pStyle w:val="FootnoteText"/>
      </w:pPr>
      <w:r>
        <w:rPr>
          <w:rStyle w:val="FootnoteReference"/>
        </w:rPr>
        <w:footnoteRef/>
      </w:r>
      <w:r>
        <w:t xml:space="preserve"> </w:t>
      </w:r>
      <w:r>
        <w:tab/>
        <w:t>van 30 mei 2018 https://www.ices.dk/sites/pub/Publication%20Reports/Advice/2018/Special_requests/nl.2018.08.pdf.</w:t>
      </w:r>
    </w:p>
  </w:footnote>
  <w:footnote w:id="4">
    <w:p>
      <w:pPr>
        <w:pStyle w:val="FootnoteText"/>
      </w:pPr>
      <w:r>
        <w:rPr>
          <w:rStyle w:val="FootnoteReference"/>
        </w:rPr>
        <w:footnoteRef/>
      </w:r>
      <w:r>
        <w:t xml:space="preserve"> </w:t>
      </w:r>
      <w:r>
        <w:tab/>
        <w:t>door Eurocommissaris Damanaki van Visserij op 22 mei 2014 in antwoorden op schriftelijke parlementaire vragen (P-004225/2014).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evenAndOddHeaders/>
  <w:noPunctuationKerning/>
  <w:characterSpacingControl w:val="doNotCompress"/>
  <w:footnotePr>
    <w:pos w:val="pageBottom"/>
    <w:numFmt w:val="decimal"/>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B3311"/>
    <w:pPr>
      <w:keepNext/>
      <w:keepLines/>
      <w:widowControl w:val="0"/>
      <w:tabs>
        <w:tab w:val="left" w:pos="425"/>
        <w:tab w:val="left" w:pos="851"/>
        <w:tab w:val="left" w:pos="1276"/>
      </w:tabs>
      <w:spacing w:before="480" w:after="240"/>
      <w:outlineLvl w:val="0"/>
    </w:pPr>
    <w:rPr>
      <w:rFonts w:ascii="Cambria" w:eastAsia="Times New Roman" w:hAnsi="Cambria" w:cs="Times New Roman"/>
      <w:b/>
      <w:bCs/>
      <w:color w:val="365F91" w:themeShade="BF"/>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rial10">
    <w:name w:val="Arial10"/>
    <w:qFormat/>
    <w:rsid w:val="003A12E2"/>
    <w:rPr>
      <w:rFonts w:ascii="Arial" w:hAnsi="Arial"/>
    </w:rPr>
  </w:style>
  <w:style w:type="paragraph" w:customStyle="1" w:styleId="Arial10After10">
    <w:name w:val="Arial10After10"/>
    <w:qFormat/>
    <w:rsid w:val="008E6344"/>
    <w:pPr>
      <w:spacing w:after="200"/>
    </w:pPr>
    <w:rPr>
      <w:rFonts w:ascii="Arial" w:hAnsi="Arial"/>
    </w:rPr>
  </w:style>
  <w:style w:type="paragraph" w:styleId="BalloonText">
    <w:name w:val="Balloon Text"/>
    <w:basedOn w:val="Normal"/>
    <w:semiHidden/>
    <w:rsid w:val="00CD005F"/>
    <w:pPr>
      <w:widowControl w:val="0"/>
      <w:tabs>
        <w:tab w:val="left" w:pos="425"/>
        <w:tab w:val="left" w:pos="851"/>
        <w:tab w:val="left" w:pos="1276"/>
      </w:tabs>
      <w:spacing w:after="240"/>
    </w:pPr>
    <w:rPr>
      <w:rFonts w:ascii="Tahoma" w:hAnsi="Tahoma" w:cs="Tahoma"/>
      <w:sz w:val="16"/>
      <w:szCs w:val="16"/>
    </w:rPr>
  </w:style>
  <w:style w:type="paragraph" w:customStyle="1" w:styleId="Body">
    <w:name w:val="Body"/>
    <w:qFormat/>
    <w:rsid w:val="006822FA"/>
    <w:pPr>
      <w:tabs>
        <w:tab w:val="left" w:pos="425"/>
        <w:tab w:val="left" w:pos="851"/>
        <w:tab w:val="left" w:pos="1276"/>
      </w:tabs>
      <w:spacing w:after="240"/>
    </w:pPr>
    <w:rPr>
      <w:rFonts w:ascii="Arial" w:hAnsi="Arial"/>
    </w:rPr>
  </w:style>
  <w:style w:type="character" w:customStyle="1" w:styleId="Bold">
    <w:name w:val="Bold"/>
    <w:basedOn w:val="DefaultParagraphFont"/>
    <w:uiPriority w:val="1"/>
    <w:qFormat/>
    <w:rsid w:val="00344A81"/>
    <w:rPr>
      <w:rFonts w:ascii="Arial" w:hAnsi="Arial"/>
      <w:b/>
      <w:sz w:val="20"/>
    </w:rPr>
  </w:style>
  <w:style w:type="character" w:customStyle="1" w:styleId="DefaultParagraphFont0">
    <w:name w:val="Default Paragraph Font_0"/>
    <w:next w:val="DefaultParagraphFont"/>
    <w:uiPriority w:val="1"/>
    <w:semiHidden/>
    <w:unhideWhenUsed/>
  </w:style>
  <w:style w:type="paragraph" w:styleId="Footer">
    <w:name w:val="footer"/>
    <w:basedOn w:val="Normal"/>
    <w:rsid w:val="00F816F6"/>
    <w:pPr>
      <w:widowControl w:val="0"/>
      <w:tabs>
        <w:tab w:val="clear" w:pos="425"/>
        <w:tab w:val="clear" w:pos="851"/>
        <w:tab w:val="clear" w:pos="1276"/>
        <w:tab w:val="center" w:pos="4536"/>
        <w:tab w:val="right" w:pos="9072"/>
      </w:tabs>
      <w:spacing w:before="240" w:after="240"/>
    </w:pPr>
    <w:rPr>
      <w:rFonts w:ascii="Arial" w:hAnsi="Arial"/>
      <w:snapToGrid w:val="0"/>
      <w:sz w:val="22"/>
    </w:rPr>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FootnoteText">
    <w:name w:val="footnote text"/>
    <w:semiHidden/>
    <w:rsid w:val="003D124A"/>
    <w:pPr>
      <w:tabs>
        <w:tab w:val="left" w:pos="284"/>
      </w:tabs>
      <w:ind w:left="284" w:hanging="284"/>
    </w:pPr>
    <w:rPr>
      <w:rFonts w:ascii="Arial" w:hAnsi="Arial"/>
      <w:sz w:val="18"/>
    </w:rPr>
  </w:style>
  <w:style w:type="paragraph" w:styleId="Header">
    <w:name w:val="header"/>
    <w:basedOn w:val="Normal"/>
    <w:pPr>
      <w:widowControl w:val="0"/>
      <w:tabs>
        <w:tab w:val="left" w:pos="425"/>
        <w:tab w:val="left" w:pos="851"/>
        <w:tab w:val="left" w:pos="1276"/>
        <w:tab w:val="center" w:pos="4153"/>
        <w:tab w:val="right" w:pos="8306"/>
      </w:tabs>
      <w:spacing w:after="240"/>
    </w:pPr>
    <w:rPr>
      <w:rFonts w:ascii="Arial" w:hAnsi="Arial"/>
    </w:rPr>
  </w:style>
  <w:style w:type="character" w:customStyle="1" w:styleId="Heading1Char">
    <w:name w:val="Heading 1 Char"/>
    <w:basedOn w:val="DefaultParagraphFont"/>
    <w:link w:val="Heading1"/>
    <w:rsid w:val="004B3311"/>
    <w:rPr>
      <w:rFonts w:ascii="Cambria" w:eastAsia="Times New Roman" w:hAnsi="Cambria" w:cs="Times New Roman"/>
      <w:b/>
      <w:bCs/>
      <w:snapToGrid w:val="0"/>
      <w:color w:val="365F91" w:themeShade="BF"/>
      <w:sz w:val="28"/>
      <w:szCs w:val="28"/>
      <w:lang w:eastAsia="en-US"/>
    </w:rPr>
  </w:style>
  <w:style w:type="character" w:customStyle="1" w:styleId="Heading1Char0">
    <w:name w:val="Heading 1 Char_0"/>
    <w:basedOn w:val="DefaultParagraphFont"/>
    <w:link w:val="Heading10"/>
    <w:rsid w:val="004B3311"/>
    <w:rPr>
      <w:rFonts w:ascii="Cambria" w:eastAsia="Times New Roman" w:hAnsi="Cambria" w:cs="Times New Roman"/>
      <w:b/>
      <w:bCs/>
      <w:snapToGrid w:val="0"/>
      <w:color w:val="365F91" w:themeShade="BF"/>
      <w:sz w:val="28"/>
      <w:szCs w:val="28"/>
      <w:lang w:eastAsia="en-US"/>
    </w:rPr>
  </w:style>
  <w:style w:type="paragraph" w:customStyle="1" w:styleId="Heading10">
    <w:name w:val="Heading 1_0"/>
    <w:basedOn w:val="Normal"/>
    <w:next w:val="Normal"/>
    <w:link w:val="Heading1Char0"/>
    <w:qFormat/>
    <w:rsid w:val="004B3311"/>
    <w:pPr>
      <w:keepNext/>
      <w:keepLines/>
      <w:widowControl w:val="0"/>
      <w:tabs>
        <w:tab w:val="left" w:pos="425"/>
        <w:tab w:val="left" w:pos="851"/>
        <w:tab w:val="left" w:pos="1276"/>
      </w:tabs>
      <w:spacing w:before="480" w:after="240"/>
      <w:outlineLvl w:val="0"/>
    </w:pPr>
    <w:rPr>
      <w:rFonts w:ascii="Cambria" w:eastAsia="Times New Roman" w:hAnsi="Cambria" w:cs="Times New Roman"/>
      <w:b/>
      <w:bCs/>
      <w:color w:val="365F91" w:themeShade="BF"/>
      <w:sz w:val="28"/>
      <w:szCs w:val="28"/>
    </w:rPr>
  </w:style>
  <w:style w:type="character" w:styleId="Hyperlink">
    <w:name w:val="Hyperlink"/>
    <w:basedOn w:val="DefaultParagraphFont"/>
    <w:uiPriority w:val="99"/>
    <w:unhideWhenUsed/>
    <w:rsid w:val="008E6344"/>
    <w:rPr>
      <w:color w:val="0000FF"/>
      <w:u w:val="single"/>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qFormat/>
    <w:rsid w:val="00AB7C55"/>
    <w:pPr>
      <w:spacing w:before="0"/>
      <w:ind w:left="425" w:hanging="425"/>
    </w:pPr>
    <w:rPr>
      <w:rFonts w:ascii="Arial" w:hAnsi="Arial"/>
    </w:rPr>
  </w:style>
  <w:style w:type="numbering" w:customStyle="1" w:styleId="NoList0">
    <w:name w:val="No List_0"/>
    <w:next w:val="NoList"/>
    <w:uiPriority w:val="99"/>
    <w:semiHidden/>
    <w:unhideWhenUsed/>
  </w:style>
  <w:style w:type="paragraph" w:customStyle="1" w:styleId="Normal0">
    <w:name w:val="Normal_0"/>
    <w:next w:val="Normal"/>
    <w:qFormat/>
    <w:rsid w:val="003D124A"/>
    <w:pPr>
      <w:widowControl w:val="0"/>
      <w:tabs>
        <w:tab w:val="left" w:pos="425"/>
        <w:tab w:val="left" w:pos="851"/>
        <w:tab w:val="left" w:pos="1276"/>
      </w:tabs>
      <w:spacing w:after="240"/>
    </w:pPr>
    <w:rPr>
      <w:rFonts w:ascii="Arial" w:hAnsi="Arial"/>
    </w:rPr>
  </w:style>
  <w:style w:type="character" w:styleId="PageNumber">
    <w:name w:val="page number"/>
    <w:basedOn w:val="DefaultParagraphFont"/>
  </w:style>
  <w:style w:type="paragraph" w:customStyle="1" w:styleId="Subject">
    <w:name w:val="Subject"/>
    <w:qFormat/>
    <w:rsid w:val="00E275FC"/>
    <w:pPr>
      <w:tabs>
        <w:tab w:val="left" w:pos="1134"/>
      </w:tabs>
      <w:spacing w:after="240"/>
      <w:ind w:left="1134" w:hanging="1134"/>
    </w:pPr>
    <w:rPr>
      <w:rFonts w:ascii="Arial" w:hAnsi="Arial"/>
    </w:rPr>
  </w:style>
  <w:style w:type="paragraph" w:customStyle="1" w:styleId="Supporter">
    <w:name w:val="Supporter"/>
    <w:qFormat/>
    <w:rsid w:val="00CD50AF"/>
    <w:pPr>
      <w:tabs>
        <w:tab w:val="left" w:pos="425"/>
        <w:tab w:val="left" w:pos="851"/>
        <w:tab w:val="left" w:pos="1276"/>
      </w:tabs>
      <w:spacing w:before="840" w:after="240"/>
    </w:pPr>
    <w:rPr>
      <w:rFonts w:ascii="Arial" w:hAnsi="Arial"/>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Vraag met verzoek om schriftelijk antwoord</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20190204-183201-000414-608971</vt:lpwstr>
  </property>
</Properties>
</file>